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Lato" w:cs="Lato" w:eastAsia="Lato" w:hAnsi="Lato"/>
          <w:color w:val="ff0000"/>
        </w:rPr>
      </w:pPr>
      <w:r w:rsidDel="00000000" w:rsidR="00000000" w:rsidRPr="00000000">
        <w:rPr>
          <w:rtl w:val="0"/>
        </w:rPr>
      </w:r>
    </w:p>
    <w:p w:rsidR="00000000" w:rsidDel="00000000" w:rsidP="00000000" w:rsidRDefault="00000000" w:rsidRPr="00000000" w14:paraId="00000002">
      <w:pPr>
        <w:spacing w:after="200" w:line="240" w:lineRule="auto"/>
        <w:jc w:val="center"/>
        <w:rPr>
          <w:rFonts w:ascii="Lato" w:cs="Lato" w:eastAsia="Lato" w:hAnsi="Lato"/>
          <w:color w:val="ff0000"/>
        </w:rPr>
      </w:pPr>
      <w:r w:rsidDel="00000000" w:rsidR="00000000" w:rsidRPr="00000000">
        <w:rPr>
          <w:rFonts w:ascii="Lato" w:cs="Lato" w:eastAsia="Lato" w:hAnsi="Lato"/>
          <w:color w:val="ff0000"/>
          <w:rtl w:val="0"/>
        </w:rPr>
        <w:t xml:space="preserve">[Encabezado de circular según plantilla de la institución educativa]</w:t>
      </w:r>
    </w:p>
    <w:p w:rsidR="00000000" w:rsidDel="00000000" w:rsidP="00000000" w:rsidRDefault="00000000" w:rsidRPr="00000000" w14:paraId="00000003">
      <w:pPr>
        <w:spacing w:after="200" w:line="240" w:lineRule="auto"/>
        <w:jc w:val="center"/>
        <w:rPr>
          <w:rFonts w:ascii="Lato" w:cs="Lato" w:eastAsia="Lato" w:hAnsi="Lato"/>
          <w:color w:val="ff0000"/>
        </w:rPr>
      </w:pPr>
      <w:r w:rsidDel="00000000" w:rsidR="00000000" w:rsidRPr="00000000">
        <w:rPr>
          <w:rFonts w:ascii="Lato" w:cs="Lato" w:eastAsia="Lato" w:hAnsi="Lato"/>
          <w:color w:val="ff0000"/>
          <w:rtl w:val="0"/>
        </w:rPr>
        <w:t xml:space="preserve">Circular No. XXX</w:t>
      </w:r>
    </w:p>
    <w:p w:rsidR="00000000" w:rsidDel="00000000" w:rsidP="00000000" w:rsidRDefault="00000000" w:rsidRPr="00000000" w14:paraId="00000004">
      <w:pPr>
        <w:spacing w:after="200" w:line="240" w:lineRule="auto"/>
        <w:rPr>
          <w:rFonts w:ascii="Lato" w:cs="Lato" w:eastAsia="Lato" w:hAnsi="Lato"/>
          <w:b w:val="1"/>
        </w:rPr>
      </w:pPr>
      <w:r w:rsidDel="00000000" w:rsidR="00000000" w:rsidRPr="00000000">
        <w:rPr>
          <w:rFonts w:ascii="Lato" w:cs="Lato" w:eastAsia="Lato" w:hAnsi="Lato"/>
          <w:color w:val="ff0000"/>
          <w:rtl w:val="0"/>
        </w:rPr>
        <w:t xml:space="preserve">[Fecha]</w:t>
      </w:r>
      <w:r w:rsidDel="00000000" w:rsidR="00000000" w:rsidRPr="00000000">
        <w:rPr>
          <w:rtl w:val="0"/>
        </w:rPr>
      </w:r>
    </w:p>
    <w:p w:rsidR="00000000" w:rsidDel="00000000" w:rsidP="00000000" w:rsidRDefault="00000000" w:rsidRPr="00000000" w14:paraId="00000005">
      <w:pPr>
        <w:spacing w:after="200" w:line="240" w:lineRule="auto"/>
        <w:jc w:val="left"/>
        <w:rPr>
          <w:rFonts w:ascii="Lato" w:cs="Lato" w:eastAsia="Lato" w:hAnsi="Lato"/>
          <w:b w:val="1"/>
        </w:rPr>
      </w:pPr>
      <w:r w:rsidDel="00000000" w:rsidR="00000000" w:rsidRPr="00000000">
        <w:rPr>
          <w:rtl w:val="0"/>
        </w:rPr>
      </w:r>
    </w:p>
    <w:p w:rsidR="00000000" w:rsidDel="00000000" w:rsidP="00000000" w:rsidRDefault="00000000" w:rsidRPr="00000000" w14:paraId="00000006">
      <w:pPr>
        <w:spacing w:after="200" w:line="240" w:lineRule="auto"/>
        <w:jc w:val="left"/>
        <w:rPr>
          <w:rFonts w:ascii="Lato" w:cs="Lato" w:eastAsia="Lato" w:hAnsi="Lato"/>
        </w:rPr>
      </w:pPr>
      <w:r w:rsidDel="00000000" w:rsidR="00000000" w:rsidRPr="00000000">
        <w:rPr>
          <w:rFonts w:ascii="Lato" w:cs="Lato" w:eastAsia="Lato" w:hAnsi="Lato"/>
          <w:b w:val="1"/>
          <w:rtl w:val="0"/>
        </w:rPr>
        <w:t xml:space="preserve">Asunto:</w:t>
      </w:r>
      <w:r w:rsidDel="00000000" w:rsidR="00000000" w:rsidRPr="00000000">
        <w:rPr>
          <w:rFonts w:ascii="Lato" w:cs="Lato" w:eastAsia="Lato" w:hAnsi="Lato"/>
          <w:rtl w:val="0"/>
        </w:rPr>
        <w:t xml:space="preserve"> Participación de la institución educativa en el programa nacional “Voto </w:t>
      </w:r>
      <w:r w:rsidDel="00000000" w:rsidR="00000000" w:rsidRPr="00000000">
        <w:rPr>
          <w:rFonts w:ascii="Lato" w:cs="Lato" w:eastAsia="Lato" w:hAnsi="Lato"/>
          <w:rtl w:val="0"/>
        </w:rPr>
        <w:t xml:space="preserve">Estudiantil” de</w:t>
      </w:r>
      <w:r w:rsidDel="00000000" w:rsidR="00000000" w:rsidRPr="00000000">
        <w:rPr>
          <w:rFonts w:ascii="Lato" w:cs="Lato" w:eastAsia="Lato" w:hAnsi="Lato"/>
          <w:rtl w:val="0"/>
        </w:rPr>
        <w:t xml:space="preserve"> la Fundación CIVIX Colombia, con el apoyo del Gobierno de Canadá. </w:t>
      </w:r>
    </w:p>
    <w:p w:rsidR="00000000" w:rsidDel="00000000" w:rsidP="00000000" w:rsidRDefault="00000000" w:rsidRPr="00000000" w14:paraId="0000000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8">
      <w:pPr>
        <w:spacing w:line="240" w:lineRule="auto"/>
        <w:rPr>
          <w:rFonts w:ascii="Lato" w:cs="Lato" w:eastAsia="Lato" w:hAnsi="Lato"/>
        </w:rPr>
      </w:pPr>
      <w:r w:rsidDel="00000000" w:rsidR="00000000" w:rsidRPr="00000000">
        <w:rPr>
          <w:rFonts w:ascii="Lato" w:cs="Lato" w:eastAsia="Lato" w:hAnsi="Lato"/>
          <w:rtl w:val="0"/>
        </w:rPr>
        <w:t xml:space="preserve">Estimadas familias:</w:t>
      </w:r>
    </w:p>
    <w:p w:rsidR="00000000" w:rsidDel="00000000" w:rsidP="00000000" w:rsidRDefault="00000000" w:rsidRPr="00000000" w14:paraId="0000000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A">
      <w:pPr>
        <w:spacing w:line="240" w:lineRule="auto"/>
        <w:rPr>
          <w:rFonts w:ascii="Lato" w:cs="Lato" w:eastAsia="Lato" w:hAnsi="Lato"/>
        </w:rPr>
      </w:pPr>
      <w:r w:rsidDel="00000000" w:rsidR="00000000" w:rsidRPr="00000000">
        <w:rPr>
          <w:rFonts w:ascii="Lato" w:cs="Lato" w:eastAsia="Lato" w:hAnsi="Lato"/>
          <w:rtl w:val="0"/>
        </w:rPr>
        <w:t xml:space="preserve">Cordial saludo, </w:t>
      </w:r>
    </w:p>
    <w:p w:rsidR="00000000" w:rsidDel="00000000" w:rsidP="00000000" w:rsidRDefault="00000000" w:rsidRPr="00000000" w14:paraId="0000000B">
      <w:pP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0C">
      <w:pPr>
        <w:spacing w:after="200" w:line="240" w:lineRule="auto"/>
        <w:jc w:val="both"/>
        <w:rPr>
          <w:rFonts w:ascii="Lato" w:cs="Lato" w:eastAsia="Lato" w:hAnsi="Lato"/>
        </w:rPr>
      </w:pPr>
      <w:r w:rsidDel="00000000" w:rsidR="00000000" w:rsidRPr="00000000">
        <w:rPr>
          <w:rFonts w:ascii="Lato" w:cs="Lato" w:eastAsia="Lato" w:hAnsi="Lato"/>
          <w:rtl w:val="0"/>
        </w:rPr>
        <w:t xml:space="preserve">Nos place mucho contarles que nuestra institución educativa será parte de las más de </w:t>
      </w:r>
      <w:r w:rsidDel="00000000" w:rsidR="00000000" w:rsidRPr="00000000">
        <w:rPr>
          <w:rFonts w:ascii="Lato" w:cs="Lato" w:eastAsia="Lato" w:hAnsi="Lato"/>
          <w:b w:val="1"/>
          <w:rtl w:val="0"/>
        </w:rPr>
        <w:t xml:space="preserve">1.000</w:t>
      </w:r>
      <w:r w:rsidDel="00000000" w:rsidR="00000000" w:rsidRPr="00000000">
        <w:rPr>
          <w:rFonts w:ascii="Lato" w:cs="Lato" w:eastAsia="Lato" w:hAnsi="Lato"/>
          <w:rtl w:val="0"/>
        </w:rPr>
        <w:t xml:space="preserve"> en el país que participarán en el programa </w:t>
      </w:r>
      <w:r w:rsidDel="00000000" w:rsidR="00000000" w:rsidRPr="00000000">
        <w:rPr>
          <w:rFonts w:ascii="Lato" w:cs="Lato" w:eastAsia="Lato" w:hAnsi="Lato"/>
          <w:b w:val="1"/>
          <w:rtl w:val="0"/>
        </w:rPr>
        <w:t xml:space="preserve">Voto Estudiantil</w:t>
      </w:r>
      <w:r w:rsidDel="00000000" w:rsidR="00000000" w:rsidRPr="00000000">
        <w:rPr>
          <w:rFonts w:ascii="Lato" w:cs="Lato" w:eastAsia="Lato" w:hAnsi="Lato"/>
          <w:rtl w:val="0"/>
        </w:rPr>
        <w:t xml:space="preserve"> de la Fundación CIVIX Colombia, la simulación electoral juvenil más grande de América Latina. </w:t>
      </w:r>
    </w:p>
    <w:p w:rsidR="00000000" w:rsidDel="00000000" w:rsidP="00000000" w:rsidRDefault="00000000" w:rsidRPr="00000000" w14:paraId="0000000D">
      <w:pPr>
        <w:spacing w:after="200" w:line="240" w:lineRule="auto"/>
        <w:jc w:val="both"/>
        <w:rPr>
          <w:rFonts w:ascii="Lato" w:cs="Lato" w:eastAsia="Lato" w:hAnsi="Lato"/>
        </w:rPr>
      </w:pPr>
      <w:r w:rsidDel="00000000" w:rsidR="00000000" w:rsidRPr="00000000">
        <w:rPr>
          <w:rFonts w:ascii="Lato" w:cs="Lato" w:eastAsia="Lato" w:hAnsi="Lato"/>
          <w:rtl w:val="0"/>
        </w:rPr>
        <w:t xml:space="preserve">CIVIX es una organización no gubernamental nacida en la ciudad de Toronto (</w:t>
      </w:r>
      <w:hyperlink r:id="rId6">
        <w:r w:rsidDel="00000000" w:rsidR="00000000" w:rsidRPr="00000000">
          <w:rPr>
            <w:rFonts w:ascii="Lato" w:cs="Lato" w:eastAsia="Lato" w:hAnsi="Lato"/>
            <w:color w:val="1155cc"/>
            <w:u w:val="single"/>
            <w:rtl w:val="0"/>
          </w:rPr>
          <w:t xml:space="preserve">Canadá</w:t>
        </w:r>
      </w:hyperlink>
      <w:r w:rsidDel="00000000" w:rsidR="00000000" w:rsidRPr="00000000">
        <w:rPr>
          <w:rFonts w:ascii="Lato" w:cs="Lato" w:eastAsia="Lato" w:hAnsi="Lato"/>
          <w:rtl w:val="0"/>
        </w:rPr>
        <w:t xml:space="preserve">) en el año 2003, con la misión de convertir estudiantes en ciudadanos/as activos/as, críticos/as y comprometidos/as con la democracia. Es una organización completamente apartidista: busca fomentar los hábitos cívicos y democráticos de las y los jóvenes por debajo de la edad de votación sin la influencia de ningún partido o movimiento político, ni generar favoritismos hacia algún sector del espectro político.  </w:t>
      </w:r>
    </w:p>
    <w:p w:rsidR="00000000" w:rsidDel="00000000" w:rsidP="00000000" w:rsidRDefault="00000000" w:rsidRPr="00000000" w14:paraId="0000000E">
      <w:pPr>
        <w:spacing w:line="240" w:lineRule="auto"/>
        <w:jc w:val="both"/>
        <w:rPr>
          <w:rFonts w:ascii="Lato" w:cs="Lato" w:eastAsia="Lato" w:hAnsi="Lato"/>
        </w:rPr>
      </w:pPr>
      <w:hyperlink r:id="rId7">
        <w:r w:rsidDel="00000000" w:rsidR="00000000" w:rsidRPr="00000000">
          <w:rPr>
            <w:rFonts w:ascii="Lato" w:cs="Lato" w:eastAsia="Lato" w:hAnsi="Lato"/>
            <w:color w:val="1155cc"/>
            <w:u w:val="single"/>
            <w:rtl w:val="0"/>
          </w:rPr>
          <w:t xml:space="preserve">Voto Estudiantil</w:t>
        </w:r>
      </w:hyperlink>
      <w:r w:rsidDel="00000000" w:rsidR="00000000" w:rsidRPr="00000000">
        <w:rPr>
          <w:rFonts w:ascii="Lato" w:cs="Lato" w:eastAsia="Lato" w:hAnsi="Lato"/>
          <w:rtl w:val="0"/>
        </w:rPr>
        <w:t xml:space="preserve"> es el programa bandera de CIVIX. Se trata de una experiencia pedagógica vivencial en democracia y construcción de ciudadanía que usa las elecciones reales como una oportunidad para acercar a las y los estudiantes a vivir de primera mano la democracia, fomentando su participación como ciudadanos/as críticos/as, activos/as e informados/as. En Canadá, este programa lleva más de 50 ediciones realizadas, con más de 1.200.000 estudiantes participando en cerca de 9.000 colegios en todo el país. Gracias a su éxito en Canadá, Voto Estudiantil fue reconocido por el </w:t>
      </w:r>
      <w:hyperlink r:id="rId8">
        <w:r w:rsidDel="00000000" w:rsidR="00000000" w:rsidRPr="00000000">
          <w:rPr>
            <w:rFonts w:ascii="Lato" w:cs="Lato" w:eastAsia="Lato" w:hAnsi="Lato"/>
            <w:color w:val="4a86e8"/>
            <w:u w:val="single"/>
            <w:rtl w:val="0"/>
          </w:rPr>
          <w:t xml:space="preserve">Programa de Naciones Unidas para el Desarrollo</w:t>
        </w:r>
      </w:hyperlink>
      <w:r w:rsidDel="00000000" w:rsidR="00000000" w:rsidRPr="00000000">
        <w:rPr>
          <w:rFonts w:ascii="Lato" w:cs="Lato" w:eastAsia="Lato" w:hAnsi="Lato"/>
          <w:rtl w:val="0"/>
        </w:rPr>
        <w:t xml:space="preserve"> en el año 2017 como uno de los “ejemplos más emblemáticos” en el mundo en la enseñanza de hábitos cívicos y democráticos. </w:t>
      </w:r>
    </w:p>
    <w:p w:rsidR="00000000" w:rsidDel="00000000" w:rsidP="00000000" w:rsidRDefault="00000000" w:rsidRPr="00000000" w14:paraId="0000000F">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0">
      <w:pPr>
        <w:spacing w:line="240" w:lineRule="auto"/>
        <w:jc w:val="both"/>
        <w:rPr>
          <w:rFonts w:ascii="Lato" w:cs="Lato" w:eastAsia="Lato" w:hAnsi="Lato"/>
        </w:rPr>
      </w:pPr>
      <w:r w:rsidDel="00000000" w:rsidR="00000000" w:rsidRPr="00000000">
        <w:rPr>
          <w:rFonts w:ascii="Lato" w:cs="Lato" w:eastAsia="Lato" w:hAnsi="Lato"/>
          <w:rtl w:val="0"/>
        </w:rPr>
        <w:t xml:space="preserve">Desde el año 2018 CIVIX tiene presencia </w:t>
      </w:r>
      <w:hyperlink r:id="rId9">
        <w:r w:rsidDel="00000000" w:rsidR="00000000" w:rsidRPr="00000000">
          <w:rPr>
            <w:rFonts w:ascii="Lato" w:cs="Lato" w:eastAsia="Lato" w:hAnsi="Lato"/>
            <w:color w:val="1155cc"/>
            <w:u w:val="single"/>
            <w:rtl w:val="0"/>
          </w:rPr>
          <w:t xml:space="preserve">en Colombia</w:t>
        </w:r>
      </w:hyperlink>
      <w:r w:rsidDel="00000000" w:rsidR="00000000" w:rsidRPr="00000000">
        <w:rPr>
          <w:rFonts w:ascii="Lato" w:cs="Lato" w:eastAsia="Lato" w:hAnsi="Lato"/>
          <w:rtl w:val="0"/>
        </w:rPr>
        <w:t xml:space="preserve"> con un equipo de profesionales en cinco regiones del país: </w:t>
      </w:r>
      <w:r w:rsidDel="00000000" w:rsidR="00000000" w:rsidRPr="00000000">
        <w:rPr>
          <w:rFonts w:ascii="Lato" w:cs="Lato" w:eastAsia="Lato" w:hAnsi="Lato"/>
          <w:b w:val="1"/>
          <w:rtl w:val="0"/>
        </w:rPr>
        <w:t xml:space="preserve">Centro</w:t>
      </w:r>
      <w:r w:rsidDel="00000000" w:rsidR="00000000" w:rsidRPr="00000000">
        <w:rPr>
          <w:rFonts w:ascii="Lato" w:cs="Lato" w:eastAsia="Lato" w:hAnsi="Lato"/>
          <w:rtl w:val="0"/>
        </w:rPr>
        <w:t xml:space="preserve"> (Bogotá, Cundinamarca y Boyacá),</w:t>
      </w:r>
      <w:r w:rsidDel="00000000" w:rsidR="00000000" w:rsidRPr="00000000">
        <w:rPr>
          <w:rFonts w:ascii="Lato" w:cs="Lato" w:eastAsia="Lato" w:hAnsi="Lato"/>
          <w:b w:val="1"/>
          <w:rtl w:val="0"/>
        </w:rPr>
        <w:t xml:space="preserve"> Costa Caribe</w:t>
      </w:r>
      <w:r w:rsidDel="00000000" w:rsidR="00000000" w:rsidRPr="00000000">
        <w:rPr>
          <w:rFonts w:ascii="Lato" w:cs="Lato" w:eastAsia="Lato" w:hAnsi="Lato"/>
          <w:rtl w:val="0"/>
        </w:rPr>
        <w:t xml:space="preserve"> (Bolívar, La Guajira, Sucre, Atlántico y Magdalena), </w:t>
      </w:r>
      <w:r w:rsidDel="00000000" w:rsidR="00000000" w:rsidRPr="00000000">
        <w:rPr>
          <w:rFonts w:ascii="Lato" w:cs="Lato" w:eastAsia="Lato" w:hAnsi="Lato"/>
          <w:b w:val="1"/>
          <w:rtl w:val="0"/>
        </w:rPr>
        <w:t xml:space="preserve">Nororiente</w:t>
      </w:r>
      <w:r w:rsidDel="00000000" w:rsidR="00000000" w:rsidRPr="00000000">
        <w:rPr>
          <w:rFonts w:ascii="Lato" w:cs="Lato" w:eastAsia="Lato" w:hAnsi="Lato"/>
          <w:rtl w:val="0"/>
        </w:rPr>
        <w:t xml:space="preserve"> (Santander, Norte de Santander y Arauca), </w:t>
      </w:r>
      <w:r w:rsidDel="00000000" w:rsidR="00000000" w:rsidRPr="00000000">
        <w:rPr>
          <w:rFonts w:ascii="Lato" w:cs="Lato" w:eastAsia="Lato" w:hAnsi="Lato"/>
          <w:b w:val="1"/>
          <w:rtl w:val="0"/>
        </w:rPr>
        <w:t xml:space="preserve">Antioquia y Eje Cafetero</w:t>
      </w:r>
      <w:r w:rsidDel="00000000" w:rsidR="00000000" w:rsidRPr="00000000">
        <w:rPr>
          <w:rFonts w:ascii="Lato" w:cs="Lato" w:eastAsia="Lato" w:hAnsi="Lato"/>
          <w:rtl w:val="0"/>
        </w:rPr>
        <w:t xml:space="preserve"> (Antioquia y Caldas), y </w:t>
      </w:r>
      <w:r w:rsidDel="00000000" w:rsidR="00000000" w:rsidRPr="00000000">
        <w:rPr>
          <w:rFonts w:ascii="Lato" w:cs="Lato" w:eastAsia="Lato" w:hAnsi="Lato"/>
          <w:b w:val="1"/>
          <w:rtl w:val="0"/>
        </w:rPr>
        <w:t xml:space="preserve">Pacífico</w:t>
      </w:r>
      <w:r w:rsidDel="00000000" w:rsidR="00000000" w:rsidRPr="00000000">
        <w:rPr>
          <w:rFonts w:ascii="Lato" w:cs="Lato" w:eastAsia="Lato" w:hAnsi="Lato"/>
          <w:rtl w:val="0"/>
        </w:rPr>
        <w:t xml:space="preserve"> (Valle del Cauca y Nariño), territorios en donde más de </w:t>
      </w:r>
      <w:r w:rsidDel="00000000" w:rsidR="00000000" w:rsidRPr="00000000">
        <w:rPr>
          <w:rFonts w:ascii="Lato" w:cs="Lato" w:eastAsia="Lato" w:hAnsi="Lato"/>
          <w:b w:val="1"/>
          <w:rtl w:val="0"/>
        </w:rPr>
        <w:t xml:space="preserve">2.000</w:t>
      </w:r>
      <w:r w:rsidDel="00000000" w:rsidR="00000000" w:rsidRPr="00000000">
        <w:rPr>
          <w:rFonts w:ascii="Lato" w:cs="Lato" w:eastAsia="Lato" w:hAnsi="Lato"/>
          <w:rtl w:val="0"/>
        </w:rPr>
        <w:t xml:space="preserve"> docentes estarán desarrollando el programa de manera simultánea. </w:t>
      </w:r>
    </w:p>
    <w:p w:rsidR="00000000" w:rsidDel="00000000" w:rsidP="00000000" w:rsidRDefault="00000000" w:rsidRPr="00000000" w14:paraId="00000011">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2">
      <w:pPr>
        <w:spacing w:line="240" w:lineRule="auto"/>
        <w:jc w:val="both"/>
        <w:rPr>
          <w:rFonts w:ascii="Lato" w:cs="Lato" w:eastAsia="Lato" w:hAnsi="Lato"/>
        </w:rPr>
      </w:pPr>
      <w:r w:rsidDel="00000000" w:rsidR="00000000" w:rsidRPr="00000000">
        <w:rPr>
          <w:rFonts w:ascii="Lato" w:cs="Lato" w:eastAsia="Lato" w:hAnsi="Lato"/>
          <w:rtl w:val="0"/>
        </w:rPr>
        <w:t xml:space="preserve">Nuestros estudiantes serán parte de los más de 200.000 jóvenes que estarán participando en el programa Voto Estudiantil, el cual es apoyado por el Gobierno de Canadá mediante su agencia de cooperación internacional “</w:t>
      </w:r>
      <w:r w:rsidDel="00000000" w:rsidR="00000000" w:rsidRPr="00000000">
        <w:rPr>
          <w:rFonts w:ascii="Lato" w:cs="Lato" w:eastAsia="Lato" w:hAnsi="Lato"/>
          <w:i w:val="1"/>
          <w:rtl w:val="0"/>
        </w:rPr>
        <w:t xml:space="preserve">Global Affairs Canada</w:t>
      </w:r>
      <w:r w:rsidDel="00000000" w:rsidR="00000000" w:rsidRPr="00000000">
        <w:rPr>
          <w:rFonts w:ascii="Lato" w:cs="Lato" w:eastAsia="Lato" w:hAnsi="Lato"/>
          <w:rtl w:val="0"/>
        </w:rPr>
        <w:t xml:space="preserve">”. </w:t>
      </w:r>
    </w:p>
    <w:p w:rsidR="00000000" w:rsidDel="00000000" w:rsidP="00000000" w:rsidRDefault="00000000" w:rsidRPr="00000000" w14:paraId="00000013">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4">
      <w:pPr>
        <w:spacing w:line="240" w:lineRule="auto"/>
        <w:jc w:val="both"/>
        <w:rPr>
          <w:rFonts w:ascii="Lato" w:cs="Lato" w:eastAsia="Lato" w:hAnsi="Lato"/>
        </w:rPr>
      </w:pPr>
      <w:r w:rsidDel="00000000" w:rsidR="00000000" w:rsidRPr="00000000">
        <w:rPr>
          <w:rFonts w:ascii="Lato" w:cs="Lato" w:eastAsia="Lato" w:hAnsi="Lato"/>
          <w:rtl w:val="0"/>
        </w:rPr>
        <w:t xml:space="preserve">En nuestra institución educativa, las y los estudiantes vivirán la democracia de primera mano: la importancia de la participación y del derecho al voto, el problema de la desinformación o “fake news” en la democracia y cómo analizar los programas de gobierno de los candidatos a la elecciones locales, entre otros temas. </w:t>
      </w:r>
    </w:p>
    <w:p w:rsidR="00000000" w:rsidDel="00000000" w:rsidP="00000000" w:rsidRDefault="00000000" w:rsidRPr="00000000" w14:paraId="00000015">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6">
      <w:pPr>
        <w:spacing w:line="240" w:lineRule="auto"/>
        <w:jc w:val="both"/>
        <w:rPr>
          <w:rFonts w:ascii="Lato" w:cs="Lato" w:eastAsia="Lato" w:hAnsi="Lato"/>
        </w:rPr>
      </w:pPr>
      <w:r w:rsidDel="00000000" w:rsidR="00000000" w:rsidRPr="00000000">
        <w:rPr>
          <w:rFonts w:ascii="Lato" w:cs="Lato" w:eastAsia="Lato" w:hAnsi="Lato"/>
          <w:rtl w:val="0"/>
        </w:rPr>
        <w:t xml:space="preserve">Después, viviremos “la fiesta de la democracia”: una simulación electoral en la que las y los estudiantes votarán simbólicamente por uno/a de los candidatos/as reales. Los resultados de la votación de los estudiantes serán custodiados por CIVIX y no serán revelados sino hasta que se hayan hecho públicos los resultados de las elecciones oficiales por parte de las autoridades electorales. Así, Voto Estudiantil mantiene su propósito pedagógico sin afectar de ninguna manera la intención de voto de la ciudadanía ni las elecciones reales. </w:t>
      </w:r>
    </w:p>
    <w:p w:rsidR="00000000" w:rsidDel="00000000" w:rsidP="00000000" w:rsidRDefault="00000000" w:rsidRPr="00000000" w14:paraId="00000017">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8">
      <w:pPr>
        <w:spacing w:line="240" w:lineRule="auto"/>
        <w:jc w:val="both"/>
        <w:rPr>
          <w:rFonts w:ascii="Lato" w:cs="Lato" w:eastAsia="Lato" w:hAnsi="Lato"/>
        </w:rPr>
      </w:pPr>
      <w:r w:rsidDel="00000000" w:rsidR="00000000" w:rsidRPr="00000000">
        <w:rPr>
          <w:rFonts w:ascii="Lato" w:cs="Lato" w:eastAsia="Lato" w:hAnsi="Lato"/>
          <w:rtl w:val="0"/>
        </w:rPr>
        <w:t xml:space="preserve">Pueden encontrar toda la información sobre este programa en la página web: </w:t>
      </w:r>
      <w:hyperlink r:id="rId10">
        <w:r w:rsidDel="00000000" w:rsidR="00000000" w:rsidRPr="00000000">
          <w:rPr>
            <w:rFonts w:ascii="Lato" w:cs="Lato" w:eastAsia="Lato" w:hAnsi="Lato"/>
            <w:b w:val="1"/>
            <w:color w:val="1155cc"/>
            <w:u w:val="single"/>
            <w:rtl w:val="0"/>
          </w:rPr>
          <w:t xml:space="preserve">votoestudiantil.co</w:t>
        </w:r>
      </w:hyperlink>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 En esta página puede encontrar más información para padres y madres de familia en el programa, incluyendo un </w:t>
      </w:r>
      <w:hyperlink r:id="rId11">
        <w:r w:rsidDel="00000000" w:rsidR="00000000" w:rsidRPr="00000000">
          <w:rPr>
            <w:rFonts w:ascii="Lato" w:cs="Lato" w:eastAsia="Lato" w:hAnsi="Lato"/>
            <w:color w:val="1155cc"/>
            <w:u w:val="single"/>
            <w:rtl w:val="0"/>
          </w:rPr>
          <w:t xml:space="preserve">video </w:t>
        </w:r>
      </w:hyperlink>
      <w:r w:rsidDel="00000000" w:rsidR="00000000" w:rsidRPr="00000000">
        <w:rPr>
          <w:rFonts w:ascii="Lato" w:cs="Lato" w:eastAsia="Lato" w:hAnsi="Lato"/>
          <w:rtl w:val="0"/>
        </w:rPr>
        <w:t xml:space="preserve">explicativo especialmente realizado para ustedes. </w:t>
      </w:r>
    </w:p>
    <w:p w:rsidR="00000000" w:rsidDel="00000000" w:rsidP="00000000" w:rsidRDefault="00000000" w:rsidRPr="00000000" w14:paraId="00000019">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A">
      <w:pPr>
        <w:spacing w:line="240" w:lineRule="auto"/>
        <w:jc w:val="both"/>
        <w:rPr>
          <w:rFonts w:ascii="Lato" w:cs="Lato" w:eastAsia="Lato" w:hAnsi="Lato"/>
        </w:rPr>
      </w:pPr>
      <w:r w:rsidDel="00000000" w:rsidR="00000000" w:rsidRPr="00000000">
        <w:rPr>
          <w:rFonts w:ascii="Lato" w:cs="Lato" w:eastAsia="Lato" w:hAnsi="Lato"/>
          <w:rtl w:val="0"/>
        </w:rPr>
        <w:t xml:space="preserve">Más allá de incentivar que las y los jóvenes desarrollen sus propios criterios para tomar decisiones en política sin influencia de ningún partido o movimiento político, Voto Estudiantil busca generar condiciones saludables para el diálogo abierto, la escucha y el aprendizaje de nuestras </w:t>
      </w:r>
      <w:r w:rsidDel="00000000" w:rsidR="00000000" w:rsidRPr="00000000">
        <w:rPr>
          <w:rFonts w:ascii="Lato" w:cs="Lato" w:eastAsia="Lato" w:hAnsi="Lato"/>
          <w:b w:val="1"/>
          <w:rtl w:val="0"/>
        </w:rPr>
        <w:t xml:space="preserve">Comunidades Educativas, </w:t>
      </w:r>
      <w:r w:rsidDel="00000000" w:rsidR="00000000" w:rsidRPr="00000000">
        <w:rPr>
          <w:rFonts w:ascii="Lato" w:cs="Lato" w:eastAsia="Lato" w:hAnsi="Lato"/>
          <w:rtl w:val="0"/>
        </w:rPr>
        <w:t xml:space="preserve">todas ellas habilidades para el ejercicio de una ciudadanía responsable, más aún en un país tan políticamente polarizado como el colombiano.</w:t>
      </w:r>
    </w:p>
    <w:p w:rsidR="00000000" w:rsidDel="00000000" w:rsidP="00000000" w:rsidRDefault="00000000" w:rsidRPr="00000000" w14:paraId="0000001B">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C">
      <w:pP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1D">
      <w:pPr>
        <w:spacing w:line="240" w:lineRule="auto"/>
        <w:jc w:val="both"/>
        <w:rPr>
          <w:rFonts w:ascii="Lato" w:cs="Lato" w:eastAsia="Lato" w:hAnsi="Lato"/>
        </w:rPr>
      </w:pPr>
      <w:r w:rsidDel="00000000" w:rsidR="00000000" w:rsidRPr="00000000">
        <w:rPr>
          <w:rFonts w:ascii="Lato" w:cs="Lato" w:eastAsia="Lato" w:hAnsi="Lato"/>
          <w:rtl w:val="0"/>
        </w:rPr>
        <w:t xml:space="preserve">En caso de tener preguntas sobre el programa, podrá ponerse en contacto directo con CIVIX escribiendo al correo </w:t>
      </w:r>
      <w:hyperlink r:id="rId12">
        <w:r w:rsidDel="00000000" w:rsidR="00000000" w:rsidRPr="00000000">
          <w:rPr>
            <w:rFonts w:ascii="Lato" w:cs="Lato" w:eastAsia="Lato" w:hAnsi="Lato"/>
            <w:color w:val="1155cc"/>
            <w:u w:val="single"/>
            <w:rtl w:val="0"/>
          </w:rPr>
          <w:t xml:space="preserve">hola@civix.ca</w:t>
        </w:r>
      </w:hyperlink>
      <w:r w:rsidDel="00000000" w:rsidR="00000000" w:rsidRPr="00000000">
        <w:rPr>
          <w:rtl w:val="0"/>
        </w:rPr>
      </w:r>
    </w:p>
    <w:p w:rsidR="00000000" w:rsidDel="00000000" w:rsidP="00000000" w:rsidRDefault="00000000" w:rsidRPr="00000000" w14:paraId="0000001E">
      <w:pP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1F">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0">
      <w:pPr>
        <w:spacing w:line="240" w:lineRule="auto"/>
        <w:jc w:val="both"/>
        <w:rPr>
          <w:rFonts w:ascii="Lato" w:cs="Lato" w:eastAsia="Lato" w:hAnsi="Lato"/>
        </w:rPr>
      </w:pPr>
      <w:r w:rsidDel="00000000" w:rsidR="00000000" w:rsidRPr="00000000">
        <w:rPr>
          <w:rFonts w:ascii="Lato" w:cs="Lato" w:eastAsia="Lato" w:hAnsi="Lato"/>
          <w:rtl w:val="0"/>
        </w:rPr>
        <w:t xml:space="preserve">Cordialmente,</w:t>
      </w:r>
    </w:p>
    <w:p w:rsidR="00000000" w:rsidDel="00000000" w:rsidP="00000000" w:rsidRDefault="00000000" w:rsidRPr="00000000" w14:paraId="00000021">
      <w:pPr>
        <w:spacing w:line="240" w:lineRule="auto"/>
        <w:jc w:val="both"/>
        <w:rPr>
          <w:rFonts w:ascii="Lato" w:cs="Lato" w:eastAsia="Lato" w:hAnsi="Lato"/>
          <w:b w:val="1"/>
        </w:rPr>
      </w:pPr>
      <w:r w:rsidDel="00000000" w:rsidR="00000000" w:rsidRPr="00000000">
        <w:rPr>
          <w:rtl w:val="0"/>
        </w:rPr>
      </w:r>
    </w:p>
    <w:p w:rsidR="00000000" w:rsidDel="00000000" w:rsidP="00000000" w:rsidRDefault="00000000" w:rsidRPr="00000000" w14:paraId="00000022">
      <w:pPr>
        <w:spacing w:line="240" w:lineRule="auto"/>
        <w:jc w:val="both"/>
        <w:rPr>
          <w:rFonts w:ascii="Lato" w:cs="Lato" w:eastAsia="Lato" w:hAnsi="Lato"/>
          <w:b w:val="1"/>
          <w:color w:val="ff0000"/>
        </w:rPr>
      </w:pPr>
      <w:r w:rsidDel="00000000" w:rsidR="00000000" w:rsidRPr="00000000">
        <w:rPr>
          <w:rtl w:val="0"/>
        </w:rPr>
      </w:r>
    </w:p>
    <w:p w:rsidR="00000000" w:rsidDel="00000000" w:rsidP="00000000" w:rsidRDefault="00000000" w:rsidRPr="00000000" w14:paraId="00000023">
      <w:pPr>
        <w:spacing w:line="240" w:lineRule="auto"/>
        <w:jc w:val="both"/>
        <w:rPr>
          <w:rFonts w:ascii="Lato" w:cs="Lato" w:eastAsia="Lato" w:hAnsi="Lato"/>
          <w:b w:val="1"/>
          <w:color w:val="ff0000"/>
        </w:rPr>
      </w:pPr>
      <w:r w:rsidDel="00000000" w:rsidR="00000000" w:rsidRPr="00000000">
        <w:rPr>
          <w:rtl w:val="0"/>
        </w:rPr>
      </w:r>
    </w:p>
    <w:p w:rsidR="00000000" w:rsidDel="00000000" w:rsidP="00000000" w:rsidRDefault="00000000" w:rsidRPr="00000000" w14:paraId="00000024">
      <w:pPr>
        <w:spacing w:line="240" w:lineRule="auto"/>
        <w:jc w:val="both"/>
        <w:rPr>
          <w:rFonts w:ascii="Lato" w:cs="Lato" w:eastAsia="Lato" w:hAnsi="Lato"/>
          <w:b w:val="1"/>
          <w:color w:val="ff0000"/>
        </w:rPr>
      </w:pPr>
      <w:r w:rsidDel="00000000" w:rsidR="00000000" w:rsidRPr="00000000">
        <w:rPr>
          <w:rtl w:val="0"/>
        </w:rPr>
      </w:r>
    </w:p>
    <w:p w:rsidR="00000000" w:rsidDel="00000000" w:rsidP="00000000" w:rsidRDefault="00000000" w:rsidRPr="00000000" w14:paraId="00000025">
      <w:pPr>
        <w:spacing w:line="240" w:lineRule="auto"/>
        <w:jc w:val="both"/>
        <w:rPr>
          <w:rFonts w:ascii="Lato" w:cs="Lato" w:eastAsia="Lato" w:hAnsi="Lato"/>
          <w:b w:val="1"/>
          <w:color w:val="ff0000"/>
        </w:rPr>
      </w:pPr>
      <w:r w:rsidDel="00000000" w:rsidR="00000000" w:rsidRPr="00000000">
        <w:rPr>
          <w:rtl w:val="0"/>
        </w:rPr>
      </w:r>
    </w:p>
    <w:p w:rsidR="00000000" w:rsidDel="00000000" w:rsidP="00000000" w:rsidRDefault="00000000" w:rsidRPr="00000000" w14:paraId="00000026">
      <w:pPr>
        <w:spacing w:line="240" w:lineRule="auto"/>
        <w:jc w:val="both"/>
        <w:rPr>
          <w:rFonts w:ascii="Lato" w:cs="Lato" w:eastAsia="Lato" w:hAnsi="Lato"/>
          <w:b w:val="1"/>
          <w:color w:val="ff0000"/>
        </w:rPr>
      </w:pPr>
      <w:r w:rsidDel="00000000" w:rsidR="00000000" w:rsidRPr="00000000">
        <w:rPr>
          <w:rFonts w:ascii="Lato" w:cs="Lato" w:eastAsia="Lato" w:hAnsi="Lato"/>
          <w:b w:val="1"/>
          <w:color w:val="ff0000"/>
          <w:rtl w:val="0"/>
        </w:rPr>
        <w:t xml:space="preserve">[Nombre]</w:t>
      </w:r>
    </w:p>
    <w:p w:rsidR="00000000" w:rsidDel="00000000" w:rsidP="00000000" w:rsidRDefault="00000000" w:rsidRPr="00000000" w14:paraId="00000027">
      <w:pPr>
        <w:spacing w:line="240" w:lineRule="auto"/>
        <w:jc w:val="both"/>
        <w:rPr>
          <w:rFonts w:ascii="Lato" w:cs="Lato" w:eastAsia="Lato" w:hAnsi="Lato"/>
        </w:rPr>
      </w:pPr>
      <w:r w:rsidDel="00000000" w:rsidR="00000000" w:rsidRPr="00000000">
        <w:rPr>
          <w:rFonts w:ascii="Lato" w:cs="Lato" w:eastAsia="Lato" w:hAnsi="Lato"/>
          <w:b w:val="1"/>
          <w:color w:val="ff0000"/>
          <w:rtl w:val="0"/>
        </w:rPr>
        <w:t xml:space="preserve">[Cargo en la Institución Educativa]</w:t>
      </w:r>
      <w:r w:rsidDel="00000000" w:rsidR="00000000" w:rsidRPr="00000000">
        <w:rPr>
          <w:rFonts w:ascii="Lato" w:cs="Lato" w:eastAsia="Lato" w:hAnsi="Lato"/>
          <w:b w:val="1"/>
          <w:rtl w:val="0"/>
        </w:rPr>
        <w:t xml:space="preserve"> </w:t>
      </w:r>
      <w:r w:rsidDel="00000000" w:rsidR="00000000" w:rsidRPr="00000000">
        <w:rPr>
          <w:rtl w:val="0"/>
        </w:rPr>
      </w:r>
    </w:p>
    <w:sectPr>
      <w:headerReference r:id="rId13" w:type="default"/>
      <w:footerReference r:id="rId14" w:type="default"/>
      <w:pgSz w:h="15840" w:w="12240" w:orient="portrait"/>
      <w:pgMar w:bottom="1440" w:top="1440" w:left="1440" w:right="1440"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left"/>
      <w:rPr/>
    </w:pPr>
    <w:r w:rsidDel="00000000" w:rsidR="00000000" w:rsidRPr="00000000">
      <w:rPr>
        <w:rFonts w:ascii="Lato" w:cs="Lato" w:eastAsia="Lato" w:hAnsi="Lato"/>
        <w:color w:val="ff0000"/>
        <w:rtl w:val="0"/>
      </w:rPr>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-65699</wp:posOffset>
          </wp:positionV>
          <wp:extent cx="1790700" cy="5820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17429" l="0" r="0" t="0"/>
                  <a:stretch>
                    <a:fillRect/>
                  </a:stretch>
                </pic:blipFill>
                <pic:spPr>
                  <a:xfrm>
                    <a:off x="0" y="0"/>
                    <a:ext cx="1790700" cy="5820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-85724</wp:posOffset>
          </wp:positionH>
          <wp:positionV relativeFrom="paragraph">
            <wp:posOffset>104775</wp:posOffset>
          </wp:positionV>
          <wp:extent cx="1525650" cy="272438"/>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525650" cy="2724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rl3lwaBu8yI" TargetMode="External"/><Relationship Id="rId10" Type="http://schemas.openxmlformats.org/officeDocument/2006/relationships/hyperlink" Target="https://votoestudiantil.co/" TargetMode="External"/><Relationship Id="rId13" Type="http://schemas.openxmlformats.org/officeDocument/2006/relationships/header" Target="header1.xml"/><Relationship Id="rId12" Type="http://schemas.openxmlformats.org/officeDocument/2006/relationships/hyperlink" Target="mailto:hola@civix.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vixcolombia.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ivix.ca/home/" TargetMode="External"/><Relationship Id="rId7" Type="http://schemas.openxmlformats.org/officeDocument/2006/relationships/hyperlink" Target="https://www.youtube.com/watch?v=3b8D9zMz7pg" TargetMode="External"/><Relationship Id="rId8" Type="http://schemas.openxmlformats.org/officeDocument/2006/relationships/hyperlink" Target="https://www.undp.org/content/dam/chile/docs/gobernabilidad/undp_cl_gobernabilidad-texto-Guia-Buenas-Practicas-Elec.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